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4F3" w:rsidRPr="007E6786" w:rsidRDefault="00FC64F3" w:rsidP="00FC64F3">
      <w:pPr>
        <w:spacing w:after="240"/>
        <w:jc w:val="center"/>
        <w:rPr>
          <w:b/>
          <w:bCs/>
        </w:rPr>
      </w:pPr>
      <w:bookmarkStart w:id="0" w:name="_GoBack"/>
      <w:bookmarkEnd w:id="0"/>
      <w:r w:rsidRPr="007E6786">
        <w:rPr>
          <w:b/>
          <w:bCs/>
        </w:rPr>
        <w:t xml:space="preserve">Serhat </w:t>
      </w:r>
      <w:r w:rsidR="008A00C9">
        <w:rPr>
          <w:b/>
          <w:bCs/>
        </w:rPr>
        <w:t>Kalkınma Ajansı Destek Programı Duyurusu</w:t>
      </w:r>
    </w:p>
    <w:p w:rsidR="00FC64F3" w:rsidRPr="007E6786" w:rsidRDefault="00FC64F3" w:rsidP="00FC64F3">
      <w:r w:rsidRPr="007E6786">
        <w:t xml:space="preserve">Sanayi ve Teknoloji Bakanlığı Kalkınma Ajansları Genel Müdürlüğü koordinasyonunda faaliyetlerini yürüten Serhat Kalkınma Ajansı (SERKA) tarafından TRA2 Bölgesi’nde (Ağrı, Ardahan, Iğdır, Kars) turizm hareketliliğini artırmak amacıyla 2025 Yılı Serhat </w:t>
      </w:r>
      <w:r w:rsidR="008A00C9">
        <w:t>Turu Destek Programı başlatılmıştır.</w:t>
      </w:r>
    </w:p>
    <w:p w:rsidR="00FC64F3" w:rsidRPr="007E6786" w:rsidRDefault="00FC64F3" w:rsidP="00FC64F3"/>
    <w:p w:rsidR="00FC64F3" w:rsidRDefault="00FC64F3" w:rsidP="00FC64F3">
      <w:r>
        <w:t>Programın amacı “Serhat” markasını geliştirerek Ağrı, Ardahan, Iğdır ve Kars illerine dört mevsim boyunca tur düzenlenmesini sağlamak; turizm gelirlerini ve faaliyetlerini yıl geneline yaymaktır.</w:t>
      </w:r>
    </w:p>
    <w:p w:rsidR="00FC64F3" w:rsidRDefault="00FC64F3" w:rsidP="00FC64F3"/>
    <w:p w:rsidR="00FC64F3" w:rsidRDefault="00FC64F3" w:rsidP="00FC64F3">
      <w:r>
        <w:t xml:space="preserve">Toplam </w:t>
      </w:r>
      <w:r>
        <w:rPr>
          <w:rStyle w:val="Gl"/>
        </w:rPr>
        <w:t>3 milyon TL bütçeyle</w:t>
      </w:r>
      <w:r>
        <w:t xml:space="preserve"> hayata geçirilecek olan program kapsamında, seyahat acentelerine </w:t>
      </w:r>
      <w:r>
        <w:rPr>
          <w:rStyle w:val="Gl"/>
        </w:rPr>
        <w:t xml:space="preserve">TRA2 Bölgesi’ne </w:t>
      </w:r>
      <w:r>
        <w:t xml:space="preserve">düzenleyecekleri turlar için </w:t>
      </w:r>
      <w:r>
        <w:rPr>
          <w:rStyle w:val="Gl"/>
        </w:rPr>
        <w:t>135.000 TL’ye kadar konaklama desteği</w:t>
      </w:r>
      <w:r>
        <w:t xml:space="preserve"> sağlanacaktır. Destek, üç farklı paket kapsamında sunulacak olup, konaklama gün sayısı ve katılımcı profiline göre değişmektedir. </w:t>
      </w:r>
    </w:p>
    <w:p w:rsidR="00FC64F3" w:rsidRDefault="00FC64F3" w:rsidP="00FC64F3"/>
    <w:p w:rsidR="00FC64F3" w:rsidRDefault="00FC64F3" w:rsidP="00FC64F3">
      <w:r w:rsidRPr="00F76849">
        <w:rPr>
          <w:b/>
        </w:rPr>
        <w:t>T.C. Kültür ve Turizm Bakanlığı’ndan Seyahat Acentesi İşletme Belgesi sahibi acenteler</w:t>
      </w:r>
      <w:r>
        <w:t xml:space="preserve">, </w:t>
      </w:r>
      <w:r w:rsidRPr="00F76849">
        <w:rPr>
          <w:b/>
        </w:rPr>
        <w:t>15 Ağustos – 11 Kasım 2025</w:t>
      </w:r>
      <w:r>
        <w:t xml:space="preserve"> tarihleri arasında </w:t>
      </w:r>
      <w:r w:rsidRPr="00F76849">
        <w:rPr>
          <w:b/>
        </w:rPr>
        <w:t>TRA2 Bölgesi’nde düzenleyecekleri konaklamalı turlar</w:t>
      </w:r>
      <w:r>
        <w:t xml:space="preserve"> için destekten yararlanabilecektir. Program kapsamında turlar, </w:t>
      </w:r>
      <w:r w:rsidRPr="00F76849">
        <w:rPr>
          <w:b/>
        </w:rPr>
        <w:t>en az 7, en fazla 30 kişiyle</w:t>
      </w:r>
      <w:r>
        <w:t xml:space="preserve"> gerçekleştirilebilecektir.</w:t>
      </w:r>
    </w:p>
    <w:p w:rsidR="00FC64F3" w:rsidRDefault="00FC64F3" w:rsidP="00FC64F3"/>
    <w:p w:rsidR="00FC64F3" w:rsidRDefault="008A00C9" w:rsidP="00FC64F3">
      <w:pPr>
        <w:rPr>
          <w:rStyle w:val="Gl"/>
        </w:rPr>
      </w:pPr>
      <w:r>
        <w:t xml:space="preserve">Online başvurular </w:t>
      </w:r>
      <w:r w:rsidR="00FC64F3" w:rsidRPr="00F76849">
        <w:rPr>
          <w:b/>
        </w:rPr>
        <w:t xml:space="preserve">31 Ekim 2025 saat 23.59’a kadar </w:t>
      </w:r>
      <w:r w:rsidR="00FC64F3">
        <w:t>devam edecektir. Her bir tur için ayrı başvuru yapılması gerekmektedir.</w:t>
      </w:r>
    </w:p>
    <w:p w:rsidR="00FC64F3" w:rsidRPr="007E6786" w:rsidRDefault="00FC64F3" w:rsidP="00FC64F3">
      <w:pPr>
        <w:pStyle w:val="NormalWeb"/>
      </w:pPr>
      <w:r>
        <w:rPr>
          <w:rStyle w:val="Gl"/>
        </w:rPr>
        <w:t>Başvuru koşulları ve detaylı bilgiye</w:t>
      </w:r>
      <w:r>
        <w:t xml:space="preserve"> </w:t>
      </w:r>
      <w:hyperlink r:id="rId4" w:tgtFrame="_new" w:history="1">
        <w:r>
          <w:rPr>
            <w:rStyle w:val="Kpr"/>
          </w:rPr>
          <w:t>www.serka.gov.tr</w:t>
        </w:r>
      </w:hyperlink>
      <w:r>
        <w:t xml:space="preserve"> adresinden ulaşılabilmektedir.</w:t>
      </w: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tbl>
      <w:tblPr>
        <w:tblpPr w:leftFromText="141" w:rightFromText="141" w:vertAnchor="text" w:horzAnchor="margin" w:tblpY="-97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444"/>
        <w:gridCol w:w="1952"/>
        <w:gridCol w:w="1972"/>
      </w:tblGrid>
      <w:tr w:rsidR="00FC64F3" w:rsidRPr="007E6786" w:rsidTr="00540AB8">
        <w:trPr>
          <w:trHeight w:val="416"/>
        </w:trPr>
        <w:tc>
          <w:tcPr>
            <w:tcW w:w="90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Balk2"/>
              <w:spacing w:line="289" w:lineRule="exact"/>
              <w:ind w:left="573" w:right="67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bookmarkStart w:id="1" w:name="_Toc199430752"/>
            <w:r w:rsidRPr="007E678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4"/>
              </w:rPr>
              <w:lastRenderedPageBreak/>
              <w:t>PROGRAMIN KÜNYESİ</w:t>
            </w:r>
            <w:bookmarkEnd w:id="1"/>
          </w:p>
        </w:tc>
      </w:tr>
      <w:tr w:rsidR="00FC64F3" w:rsidRPr="007E6786" w:rsidTr="00540AB8">
        <w:trPr>
          <w:trHeight w:val="556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Programın</w:t>
            </w:r>
            <w:r w:rsidRPr="007E6786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5"/>
                <w:sz w:val="21"/>
                <w:szCs w:val="21"/>
              </w:rPr>
              <w:t>Adı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  <w:r w:rsidRPr="007E6786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Yılı</w:t>
            </w:r>
            <w:r w:rsidRPr="007E6786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Serhat Turu</w:t>
            </w:r>
            <w:r w:rsidRPr="007E6786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Destek</w:t>
            </w:r>
            <w:r w:rsidRPr="007E6786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Programı</w:t>
            </w:r>
          </w:p>
        </w:tc>
      </w:tr>
      <w:tr w:rsidR="00FC64F3" w:rsidRPr="007E6786" w:rsidTr="00540AB8">
        <w:trPr>
          <w:trHeight w:val="564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Programın Referans Numarası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TRA2/25/SERHAT</w:t>
            </w:r>
          </w:p>
        </w:tc>
      </w:tr>
      <w:tr w:rsidR="00FC64F3" w:rsidRPr="007E6786" w:rsidTr="00540AB8">
        <w:trPr>
          <w:trHeight w:val="968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Programın</w:t>
            </w:r>
            <w:r w:rsidRPr="007E6786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Amacı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82" w:line="276" w:lineRule="auto"/>
              <w:ind w:left="107" w:right="-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“Serhat Turu” markasını geliştirerek TRA2 Bölgesi’ne 4 mevsim boyunca turların düzenlenmesini ve bu sayede turizm yoğunluğunun tüm yıla yayılmasını sağlamak.</w:t>
            </w:r>
          </w:p>
        </w:tc>
      </w:tr>
      <w:tr w:rsidR="00FC64F3" w:rsidRPr="007E6786" w:rsidTr="00540AB8">
        <w:trPr>
          <w:trHeight w:val="122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Programın</w:t>
            </w:r>
            <w:r w:rsidRPr="007E6786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Öncelikleri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82" w:line="276" w:lineRule="auto"/>
              <w:ind w:left="107" w:right="-15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Öncelik 1: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TRA2 Bölgesi’ne nispeten turizmin daha az yoğun olduğu dönemde düzenlenecek yeni turların sayısının arttırılması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FC64F3" w:rsidRPr="007E6786" w:rsidRDefault="00FC64F3" w:rsidP="00540AB8">
            <w:pPr>
              <w:pStyle w:val="TableParagraph"/>
              <w:spacing w:before="82" w:line="276" w:lineRule="auto"/>
              <w:ind w:left="107" w:right="-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Öncelik 2:</w:t>
            </w:r>
            <w:r w:rsidRPr="007E6786">
              <w:rPr>
                <w:rFonts w:ascii="Times New Roman" w:hAnsi="Times New Roman" w:cs="Times New Roman"/>
                <w:b/>
                <w:bCs/>
                <w:spacing w:val="40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TRA2 Bölgesi’ne düzenlenen turların Bölge geneline yayılarak süresinin uzatılması ve mevcut turlara süreklilik kazandırılması</w:t>
            </w:r>
          </w:p>
        </w:tc>
      </w:tr>
      <w:tr w:rsidR="00FC64F3" w:rsidRPr="007E6786" w:rsidTr="00540AB8">
        <w:trPr>
          <w:trHeight w:val="493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Programın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Toplam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Destek</w:t>
            </w:r>
            <w:r w:rsidRPr="007E6786">
              <w:rPr>
                <w:rFonts w:ascii="Times New Roman" w:hAnsi="Times New Roman" w:cs="Times New Roman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Tutarı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3.000.000,00 </w:t>
            </w:r>
            <w:r w:rsidRPr="007E6786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TL</w:t>
            </w:r>
          </w:p>
        </w:tc>
      </w:tr>
      <w:tr w:rsidR="00FC64F3" w:rsidRPr="007E6786" w:rsidTr="00540AB8">
        <w:trPr>
          <w:trHeight w:val="811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Tur Başına Verilecek Maksimum Destek Tutarı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3"/>
              <w:ind w:left="296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Birinci</w:t>
            </w:r>
            <w:r w:rsidRPr="007E6786">
              <w:rPr>
                <w:rFonts w:ascii="Times New Roman" w:hAnsi="Times New Roman" w:cs="Times New Roman"/>
                <w:b/>
                <w:bCs/>
                <w:spacing w:val="-1"/>
                <w:sz w:val="21"/>
                <w:szCs w:val="21"/>
                <w:u w:val="single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  <w:u w:val="single"/>
              </w:rPr>
              <w:t>Pakette;</w:t>
            </w:r>
          </w:p>
          <w:p w:rsidR="00FC64F3" w:rsidRPr="007E6786" w:rsidRDefault="00FC64F3" w:rsidP="00540AB8">
            <w:pPr>
              <w:pStyle w:val="TableParagraph"/>
              <w:spacing w:before="13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          </w:t>
            </w:r>
          </w:p>
          <w:p w:rsidR="00FC64F3" w:rsidRPr="007E6786" w:rsidRDefault="00FC64F3" w:rsidP="00540AB8">
            <w:pPr>
              <w:pStyle w:val="TableParagraph"/>
              <w:spacing w:before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60.000,00 TL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3"/>
              <w:ind w:left="296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İkinci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  <w:u w:val="single"/>
              </w:rPr>
              <w:t>Pakette;</w:t>
            </w:r>
          </w:p>
          <w:p w:rsidR="00FC64F3" w:rsidRPr="007E6786" w:rsidRDefault="00FC64F3" w:rsidP="00540AB8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        </w:t>
            </w:r>
          </w:p>
          <w:p w:rsidR="00FC64F3" w:rsidRPr="007E6786" w:rsidRDefault="00FC64F3" w:rsidP="00540AB8">
            <w:pPr>
              <w:pStyle w:val="TableParagraph"/>
              <w:spacing w:before="13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   112.500,00 TL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3"/>
              <w:ind w:left="296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Üçüncü</w:t>
            </w:r>
            <w:r w:rsidRPr="007E6786">
              <w:rPr>
                <w:rFonts w:ascii="Times New Roman" w:hAnsi="Times New Roman" w:cs="Times New Roman"/>
                <w:b/>
                <w:bCs/>
                <w:spacing w:val="-1"/>
                <w:sz w:val="21"/>
                <w:szCs w:val="21"/>
                <w:u w:val="single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  <w:u w:val="single"/>
              </w:rPr>
              <w:t>Pakette;</w:t>
            </w:r>
          </w:p>
          <w:p w:rsidR="00FC64F3" w:rsidRPr="007E6786" w:rsidRDefault="00FC64F3" w:rsidP="00540AB8">
            <w:pPr>
              <w:pStyle w:val="TableParagraph"/>
              <w:spacing w:before="13"/>
              <w:ind w:left="296"/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    </w:t>
            </w:r>
          </w:p>
          <w:p w:rsidR="00FC64F3" w:rsidRPr="007E6786" w:rsidRDefault="00FC64F3" w:rsidP="00540AB8">
            <w:pPr>
              <w:pStyle w:val="TableParagraph"/>
              <w:spacing w:before="13"/>
              <w:ind w:left="296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135.000,00 TL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Programa</w:t>
            </w:r>
            <w:r w:rsidRPr="007E6786"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Kimler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Başvuru</w:t>
            </w:r>
            <w:r w:rsidRPr="007E6786">
              <w:rPr>
                <w:rFonts w:ascii="Times New Roman" w:hAnsi="Times New Roman" w:cs="Times New Roman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Yapabilir?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8" w:line="252" w:lineRule="auto"/>
              <w:ind w:left="107" w:right="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T.C. Kültür ve Turizm Bakanlığı tarafından verilen Seyahat Acentesi İşletme Belgesi’ne sahip seyahat acenteleri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Tur</w:t>
            </w:r>
            <w:r w:rsidRPr="007E6786">
              <w:rPr>
                <w:rFonts w:ascii="Times New Roman" w:hAnsi="Times New Roman" w:cs="Times New Roman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Programı</w:t>
            </w:r>
            <w:r w:rsidRPr="007E6786">
              <w:rPr>
                <w:rFonts w:ascii="Times New Roman" w:hAnsi="Times New Roman" w:cs="Times New Roman"/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Hangi</w:t>
            </w:r>
            <w:r w:rsidRPr="007E6786">
              <w:rPr>
                <w:rFonts w:ascii="Times New Roman" w:hAnsi="Times New Roman" w:cs="Times New Roman"/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Tarihler</w:t>
            </w:r>
            <w:r w:rsidRPr="007E6786">
              <w:rPr>
                <w:rFonts w:ascii="Times New Roman" w:hAnsi="Times New Roman" w:cs="Times New Roman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Arasında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Düzenlenmelidir?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Ağustos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2025 –</w:t>
            </w:r>
            <w:r w:rsidRPr="007E6786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7E6786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Kasım 2025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Başvuru</w:t>
            </w:r>
            <w:r w:rsidRPr="007E6786">
              <w:rPr>
                <w:rFonts w:ascii="Times New Roman" w:hAnsi="Times New Roman" w:cs="Times New Roman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Başlangıç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Tarihi ve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>Saati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8"/>
              <w:ind w:left="8"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30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Temmuz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 2025, Saat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10.00</w:t>
            </w:r>
          </w:p>
          <w:p w:rsidR="00FC64F3" w:rsidRPr="007E6786" w:rsidRDefault="00FC64F3" w:rsidP="00540AB8">
            <w:pPr>
              <w:pStyle w:val="TableParagraph"/>
              <w:spacing w:before="10" w:line="290" w:lineRule="atLeast"/>
              <w:ind w:left="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(Düzenlenecek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her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bir</w:t>
            </w:r>
            <w:r w:rsidRPr="007E678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tur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ayrı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başvuru 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yapılmalıdır.)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Son Başvuru Tarihi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8"/>
              <w:ind w:left="8"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31 Ekim 2025, Saat: 23.59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Programa</w:t>
            </w:r>
            <w:r w:rsidRPr="007E6786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Hangi İller</w:t>
            </w:r>
            <w:r w:rsidRPr="007E6786"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Dâhildir?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Ağrı, Ardahan, Iğdır ve Kars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Birinci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Pakette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Asgari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Konaklama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ve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Gezi Süreleri Nelerdir?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9"/>
              <w:ind w:left="107" w:right="-15" w:firstLine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Programa Dâhil İllerde Asgari</w:t>
            </w:r>
            <w:r w:rsidRPr="007E678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7E678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Gece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Konaklama ve 2 Tam Gün Gezi</w:t>
            </w:r>
          </w:p>
          <w:p w:rsidR="00FC64F3" w:rsidRPr="007E6786" w:rsidRDefault="00FC64F3" w:rsidP="00540AB8">
            <w:pPr>
              <w:pStyle w:val="TableParagraph"/>
              <w:spacing w:before="9"/>
              <w:ind w:left="107" w:right="-15" w:firstLine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(1.3’te belirtilen çekim noktalarından en az birisini kapsamalıdır)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İkinci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Pakette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Asgari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Konaklama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ve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Gezi Süreleri Nelerdir?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9"/>
              <w:ind w:left="107" w:right="-15" w:firstLine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Programa Dâhil İllerde Asgari</w:t>
            </w:r>
            <w:r w:rsidRPr="007E678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E678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Gece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Konaklama ve 3 Tam Gün Gezi</w:t>
            </w:r>
          </w:p>
          <w:p w:rsidR="00FC64F3" w:rsidRPr="007E6786" w:rsidRDefault="00FC64F3" w:rsidP="00540AB8">
            <w:pPr>
              <w:pStyle w:val="TableParagraph"/>
              <w:spacing w:before="9"/>
              <w:ind w:left="107" w:right="-15" w:firstLine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(1.3’te belirtilen çekim noktalarından en az birisini kapsamalıdır)</w:t>
            </w:r>
          </w:p>
        </w:tc>
      </w:tr>
      <w:tr w:rsidR="00FC64F3" w:rsidRPr="007E6786" w:rsidTr="00540AB8">
        <w:trPr>
          <w:trHeight w:val="924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Üçüncü Pakette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Asgari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Konaklama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ve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Gezi Süreleri Nelerdir?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9"/>
              <w:ind w:left="107" w:right="-15" w:firstLine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Programa Dâhil İllerde Asgari</w:t>
            </w:r>
            <w:r w:rsidRPr="007E678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E678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Gece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Konaklama ve 3 Tam Gün Gezi</w:t>
            </w:r>
          </w:p>
          <w:p w:rsidR="00FC64F3" w:rsidRPr="007E6786" w:rsidRDefault="00FC64F3" w:rsidP="00540AB8">
            <w:pPr>
              <w:pStyle w:val="TableParagraph"/>
              <w:spacing w:before="9"/>
              <w:ind w:left="107" w:right="-15" w:firstLine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(Üçüncü paket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yalnızca yabancı uyruklu ziyaretçiler için geçerlidir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 ve 1.3’te belirtilen çekim noktalarından en az birisini kapsamalıdır)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Bir Seyahat Acentesi Aynı Yıl İçerisinde En Fazla Kaç Defa Program Desteğinden Yararlanabilir?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ind w:left="1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3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Tur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Başına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Bir</w:t>
            </w:r>
            <w:r w:rsidRPr="007E6786">
              <w:rPr>
                <w:rFonts w:ascii="Times New Roman" w:hAnsi="Times New Roman" w:cs="Times New Roman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Seyahat</w:t>
            </w:r>
            <w:r w:rsidRPr="007E6786">
              <w:rPr>
                <w:rFonts w:ascii="Times New Roman" w:hAnsi="Times New Roman" w:cs="Times New Roman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Acentesine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En</w:t>
            </w:r>
            <w:r w:rsidRPr="007E6786">
              <w:rPr>
                <w:rFonts w:ascii="Times New Roman" w:hAnsi="Times New Roman" w:cs="Times New Roman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Fazla Kaç Kişi İçin Destek Verilebilir?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30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Turlar</w:t>
            </w:r>
            <w:r w:rsidRPr="007E6786"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En</w:t>
            </w:r>
            <w:r w:rsidRPr="007E6786">
              <w:rPr>
                <w:rFonts w:ascii="Times New Roman" w:hAnsi="Times New Roman" w:cs="Times New Roman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Az Kaç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Kişi İle</w:t>
            </w:r>
            <w:r w:rsidRPr="007E6786">
              <w:rPr>
                <w:rFonts w:ascii="Times New Roman" w:hAnsi="Times New Roman" w:cs="Times New Roman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Gerçekleştirilebilir?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44" w:line="252" w:lineRule="auto"/>
              <w:ind w:left="112" w:right="-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:rsidR="00FC64F3" w:rsidRPr="007E6786" w:rsidRDefault="00FC64F3" w:rsidP="00540AB8">
            <w:pPr>
              <w:pStyle w:val="TableParagraph"/>
              <w:spacing w:line="252" w:lineRule="auto"/>
              <w:ind w:left="112" w:right="-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(Bu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    </w:t>
            </w:r>
            <w:r w:rsidRPr="007E6786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kişi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    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sayısının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        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altında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     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kalan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    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turlar desteklenmeyecektir.)</w:t>
            </w:r>
          </w:p>
        </w:tc>
      </w:tr>
    </w:tbl>
    <w:p w:rsidR="00FC64F3" w:rsidRDefault="00FC64F3" w:rsidP="00FC64F3">
      <w:pPr>
        <w:rPr>
          <w:rStyle w:val="Kpr"/>
        </w:rPr>
      </w:pPr>
    </w:p>
    <w:p w:rsidR="00FC64F3" w:rsidRDefault="00FC64F3" w:rsidP="00FC64F3"/>
    <w:sectPr w:rsidR="00FC6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8F"/>
    <w:rsid w:val="007E2334"/>
    <w:rsid w:val="008A00C9"/>
    <w:rsid w:val="00AD2926"/>
    <w:rsid w:val="00CB218F"/>
    <w:rsid w:val="00F32749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6DB7D-62B6-416A-883B-09C737A1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4F3"/>
    <w:pPr>
      <w:spacing w:after="0" w:line="276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64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C64F3"/>
    <w:rPr>
      <w:b/>
      <w:bCs/>
    </w:rPr>
  </w:style>
  <w:style w:type="paragraph" w:styleId="NormalWeb">
    <w:name w:val="Normal (Web)"/>
    <w:basedOn w:val="Normal"/>
    <w:uiPriority w:val="99"/>
    <w:unhideWhenUsed/>
    <w:rsid w:val="00FC64F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tr-TR"/>
    </w:rPr>
  </w:style>
  <w:style w:type="character" w:styleId="Kpr">
    <w:name w:val="Hyperlink"/>
    <w:basedOn w:val="VarsaylanParagrafYazTipi"/>
    <w:uiPriority w:val="99"/>
    <w:unhideWhenUsed/>
    <w:rsid w:val="00FC64F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C64F3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64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rsid w:val="00FC64F3"/>
    <w:pPr>
      <w:autoSpaceDE w:val="0"/>
      <w:autoSpaceDN w:val="0"/>
      <w:spacing w:line="240" w:lineRule="auto"/>
      <w:jc w:val="left"/>
    </w:pPr>
    <w:rPr>
      <w:rFonts w:ascii="Tahoma" w:hAnsi="Tahoma" w:cs="Tahoma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rka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Berfin Ece SUCU</dc:creator>
  <cp:keywords/>
  <dc:description/>
  <cp:lastModifiedBy>Eylem  ELVEREN</cp:lastModifiedBy>
  <cp:revision>2</cp:revision>
  <dcterms:created xsi:type="dcterms:W3CDTF">2025-08-12T11:09:00Z</dcterms:created>
  <dcterms:modified xsi:type="dcterms:W3CDTF">2025-08-12T11:09:00Z</dcterms:modified>
</cp:coreProperties>
</file>